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567A6" w14:textId="47264100" w:rsidR="00DD2F59" w:rsidRDefault="00C33BC9" w:rsidP="00DD2F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2F5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0" allowOverlap="1" wp14:anchorId="68AB7363" wp14:editId="0E69AB5B">
            <wp:simplePos x="0" y="0"/>
            <wp:positionH relativeFrom="page">
              <wp:posOffset>3256280</wp:posOffset>
            </wp:positionH>
            <wp:positionV relativeFrom="paragraph">
              <wp:posOffset>15240</wp:posOffset>
            </wp:positionV>
            <wp:extent cx="945515" cy="1097280"/>
            <wp:effectExtent l="0" t="0" r="6985" b="762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3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195A11" w14:textId="04759AFB" w:rsidR="00DD2F59" w:rsidRDefault="00DD2F59" w:rsidP="00DD2F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D146CC1" w14:textId="5A353B06" w:rsidR="00DD2F59" w:rsidRDefault="00DD2F59" w:rsidP="00DD2F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1ABC02" w14:textId="77777777" w:rsidR="00DD2F59" w:rsidRDefault="00DD2F59" w:rsidP="00DD2F59">
      <w:pPr>
        <w:pStyle w:val="ConsPlusNormal"/>
        <w:tabs>
          <w:tab w:val="left" w:pos="444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2"/>
      </w:tblGrid>
      <w:tr w:rsidR="00DD2F59" w:rsidRPr="00DD2F59" w14:paraId="243C1A85" w14:textId="77777777" w:rsidTr="008D08DA">
        <w:trPr>
          <w:trHeight w:val="80"/>
        </w:trPr>
        <w:tc>
          <w:tcPr>
            <w:tcW w:w="9582" w:type="dxa"/>
            <w:shd w:val="clear" w:color="auto" w:fill="auto"/>
          </w:tcPr>
          <w:p w14:paraId="147694EE" w14:textId="46851829" w:rsidR="00DD2F59" w:rsidRPr="00DD2F59" w:rsidRDefault="00DD2F59" w:rsidP="00DD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</w:p>
        </w:tc>
      </w:tr>
    </w:tbl>
    <w:p w14:paraId="30D232AA" w14:textId="77777777" w:rsidR="00DD2F59" w:rsidRPr="00DD2F59" w:rsidRDefault="00DD2F59" w:rsidP="00DD2F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980" w:type="dxa"/>
        <w:tblInd w:w="-12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0"/>
      </w:tblGrid>
      <w:tr w:rsidR="00DD2F59" w:rsidRPr="00DD2F59" w14:paraId="1DCEEF68" w14:textId="77777777" w:rsidTr="00DD2F59">
        <w:trPr>
          <w:trHeight w:val="3050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E6F24" w14:textId="77777777" w:rsidR="00DD2F59" w:rsidRPr="00DD2F59" w:rsidRDefault="00DD2F59" w:rsidP="00DD2F59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2F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КАБАРДИНО-БАЛКАРСКАЯ РЕСПУБЛИКА</w:t>
            </w:r>
          </w:p>
          <w:p w14:paraId="782A6136" w14:textId="77777777" w:rsidR="00DD2F59" w:rsidRPr="00DD2F59" w:rsidRDefault="00DD2F59" w:rsidP="00DD2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F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СЕЛЬСКОЕ ПОСЕЛЕНИЕ БЕЛОКАМЕНСКОЕ ЗОЛЬСКОГО МУНИЦИПАЛЬНОГО РАЙОНА</w:t>
            </w:r>
          </w:p>
          <w:p w14:paraId="0CE04A1C" w14:textId="77777777" w:rsidR="00DD2F59" w:rsidRPr="00DD2F59" w:rsidRDefault="00DD2F59" w:rsidP="00DD2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D2F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СОВЕТ  МЕСТНОГО</w:t>
            </w:r>
            <w:proofErr w:type="gramEnd"/>
            <w:r w:rsidRPr="00DD2F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САМОУПРАВЛЕНИЯ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432"/>
              <w:gridCol w:w="5435"/>
              <w:gridCol w:w="113"/>
            </w:tblGrid>
            <w:tr w:rsidR="00DD2F59" w:rsidRPr="00DD2F59" w14:paraId="424826B5" w14:textId="77777777" w:rsidTr="008D08DA">
              <w:trPr>
                <w:gridAfter w:val="1"/>
                <w:wAfter w:w="108" w:type="dxa"/>
              </w:trPr>
              <w:tc>
                <w:tcPr>
                  <w:tcW w:w="54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87C075" w14:textId="77777777" w:rsidR="00DD2F59" w:rsidRPr="00DD2F59" w:rsidRDefault="00DD2F59" w:rsidP="00DD2F5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D2F5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БЕЛОКАМЕНСКЭ КЪУАЖЭ ЖЫЛАГЪУЭ КЪЭБЭРДЕЙ-БАЛЪКЪЭРРЕСПУБЛИКЭМ И ДЗЭЛЫКЪУЭ </w:t>
                  </w:r>
                  <w:proofErr w:type="gramStart"/>
                  <w:r w:rsidRPr="00DD2F5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МУНИЦИПАЛЬНЭ  КУЕЙМ</w:t>
                  </w:r>
                  <w:proofErr w:type="gramEnd"/>
                  <w:r w:rsidRPr="00DD2F5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ЩЫЩ БЕЛОКАМЕНСКЭ КЪУАЖЭМ И СОВЕТ</w:t>
                  </w:r>
                </w:p>
              </w:tc>
              <w:tc>
                <w:tcPr>
                  <w:tcW w:w="54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EF0964" w14:textId="77777777" w:rsidR="00DD2F59" w:rsidRPr="00DD2F59" w:rsidRDefault="00DD2F59" w:rsidP="00DD2F5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DD2F5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БЕЛОКАМЕНСКОЕ ЭЛ ПОСЕЛЕНИЕ КЪАБАРТЫ-МАЛКЪАР РЕСПУБЛИКАНЫ ЗОЛЬСК МУНИЦИПАЛЬНЫЙ РАЙОНУНУ БЕЛОКАМЕНСКОЕ ЭЛ ПОСЕЛЕНИЯСЫНЫ СОВЕТИ </w:t>
                  </w:r>
                </w:p>
              </w:tc>
            </w:tr>
            <w:tr w:rsidR="00DD2F59" w:rsidRPr="00DD2F59" w14:paraId="5B289AAA" w14:textId="77777777" w:rsidTr="008D08DA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none" w:sz="0" w:space="0" w:color="auto"/>
                  <w:insideV w:val="none" w:sz="0" w:space="0" w:color="auto"/>
                </w:tblBorders>
                <w:tblLook w:val="0000" w:firstRow="0" w:lastRow="0" w:firstColumn="0" w:lastColumn="0" w:noHBand="0" w:noVBand="0"/>
              </w:tblPrEx>
              <w:trPr>
                <w:trHeight w:val="360"/>
              </w:trPr>
              <w:tc>
                <w:tcPr>
                  <w:tcW w:w="10980" w:type="dxa"/>
                  <w:gridSpan w:val="3"/>
                  <w:tcBorders>
                    <w:top w:val="single" w:sz="4" w:space="0" w:color="auto"/>
                    <w:left w:val="nil"/>
                    <w:bottom w:val="thickThinMediumGap" w:sz="24" w:space="0" w:color="auto"/>
                    <w:right w:val="nil"/>
                  </w:tcBorders>
                  <w:shd w:val="clear" w:color="auto" w:fill="auto"/>
                </w:tcPr>
                <w:p w14:paraId="6501BE60" w14:textId="77777777" w:rsidR="00DD2F59" w:rsidRPr="00DD2F59" w:rsidRDefault="00DD2F59" w:rsidP="00DD2F59">
                  <w:pPr>
                    <w:keepNext/>
                    <w:spacing w:after="0" w:line="240" w:lineRule="auto"/>
                    <w:ind w:left="-170"/>
                    <w:outlineLvl w:val="4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</w:pPr>
                  <w:r w:rsidRPr="00DD2F5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   </w:t>
                  </w:r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361720 </w:t>
                  </w:r>
                  <w:proofErr w:type="gramStart"/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Зольский  район</w:t>
                  </w:r>
                  <w:proofErr w:type="gramEnd"/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 с.п. Белокаменское,                                                                                            </w:t>
                  </w:r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E</w:t>
                  </w:r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-</w:t>
                  </w:r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mail</w:t>
                  </w:r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: </w:t>
                  </w:r>
                  <w:proofErr w:type="spellStart"/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adm</w:t>
                  </w:r>
                  <w:proofErr w:type="spellEnd"/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  <w:proofErr w:type="spellStart"/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belokamenskoe</w:t>
                  </w:r>
                  <w:proofErr w:type="spellEnd"/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@</w:t>
                  </w:r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mail</w:t>
                  </w:r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  <w:proofErr w:type="spellStart"/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ru</w:t>
                  </w:r>
                  <w:proofErr w:type="spellEnd"/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                    </w:t>
                  </w:r>
                </w:p>
                <w:p w14:paraId="0EF153CD" w14:textId="77777777" w:rsidR="00DD2F59" w:rsidRPr="00DD2F59" w:rsidRDefault="00DD2F59" w:rsidP="00DD2F59">
                  <w:pPr>
                    <w:keepNext/>
                    <w:spacing w:after="0" w:line="240" w:lineRule="auto"/>
                    <w:ind w:left="-170"/>
                    <w:outlineLvl w:val="4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D2F59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     ул. Центральная №2                                                                                                                                                                 тел./факс 75-7-51   </w:t>
                  </w:r>
                </w:p>
              </w:tc>
            </w:tr>
          </w:tbl>
          <w:p w14:paraId="3FC258A1" w14:textId="77777777" w:rsidR="00DD2F59" w:rsidRPr="00DD2F59" w:rsidRDefault="00DD2F59" w:rsidP="00DD2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</w:tr>
    </w:tbl>
    <w:p w14:paraId="26C3373C" w14:textId="77777777" w:rsidR="00DD2F59" w:rsidRPr="00DD2F59" w:rsidRDefault="00DD2F59" w:rsidP="00DD2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2F59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</w:p>
    <w:p w14:paraId="2A2AB318" w14:textId="5F773AFF" w:rsidR="00DD2F59" w:rsidRPr="00DD2F59" w:rsidRDefault="00DD2F59" w:rsidP="00DD2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7/12</w:t>
      </w:r>
      <w:r w:rsidRPr="00DD2F59">
        <w:rPr>
          <w:rFonts w:ascii="Times New Roman" w:eastAsia="Times New Roman" w:hAnsi="Times New Roman" w:cs="Times New Roman"/>
          <w:sz w:val="28"/>
          <w:szCs w:val="28"/>
        </w:rPr>
        <w:t xml:space="preserve"> сессии Совета местного самоуправления</w:t>
      </w:r>
    </w:p>
    <w:p w14:paraId="245A5AF2" w14:textId="77777777" w:rsidR="00DD2F59" w:rsidRDefault="00DD2F59" w:rsidP="00DD2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2F59">
        <w:rPr>
          <w:rFonts w:ascii="Times New Roman" w:eastAsia="Times New Roman" w:hAnsi="Times New Roman" w:cs="Times New Roman"/>
          <w:sz w:val="28"/>
          <w:szCs w:val="28"/>
        </w:rPr>
        <w:t xml:space="preserve">с.п. Белокаменское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Зольского муниципального района </w:t>
      </w:r>
    </w:p>
    <w:p w14:paraId="05590BE8" w14:textId="72D17DAF" w:rsidR="00DD2F59" w:rsidRPr="00DD2F59" w:rsidRDefault="00DD2F59" w:rsidP="00DD2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Кабардино-Балкарской Республики </w:t>
      </w:r>
      <w:r w:rsidRPr="00DD2F59">
        <w:rPr>
          <w:rFonts w:ascii="Times New Roman" w:eastAsia="Times New Roman" w:hAnsi="Times New Roman" w:cs="Times New Roman"/>
          <w:sz w:val="28"/>
          <w:szCs w:val="28"/>
        </w:rPr>
        <w:t>от 12.04.2023г.</w:t>
      </w:r>
    </w:p>
    <w:p w14:paraId="3133A316" w14:textId="77777777" w:rsidR="00DD2F59" w:rsidRPr="00DD2F59" w:rsidRDefault="00DD2F59" w:rsidP="00DD2F59">
      <w:pPr>
        <w:pStyle w:val="ConsPlusNormal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14:paraId="4A40C2BA" w14:textId="02E89FE0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</w:t>
      </w:r>
      <w:hyperlink r:id="rId5">
        <w:r w:rsidRPr="00DD2F5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DD2F59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6">
        <w:r w:rsidRPr="00DD2F5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D2F59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7">
        <w:r w:rsidRPr="00DD2F5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DD2F5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DD2F59">
        <w:rPr>
          <w:rFonts w:ascii="Times New Roman" w:hAnsi="Times New Roman" w:cs="Times New Roman"/>
          <w:sz w:val="28"/>
          <w:szCs w:val="28"/>
        </w:rPr>
        <w:t xml:space="preserve">Белокаменское </w:t>
      </w:r>
      <w:r w:rsidRPr="00DD2F59">
        <w:rPr>
          <w:rFonts w:ascii="Times New Roman" w:hAnsi="Times New Roman" w:cs="Times New Roman"/>
          <w:sz w:val="28"/>
          <w:szCs w:val="28"/>
        </w:rPr>
        <w:t xml:space="preserve">Совет местного самоуправления сельского поселения </w:t>
      </w:r>
      <w:r w:rsidRPr="00DD2F59">
        <w:rPr>
          <w:rFonts w:ascii="Times New Roman" w:hAnsi="Times New Roman" w:cs="Times New Roman"/>
          <w:sz w:val="28"/>
          <w:szCs w:val="28"/>
        </w:rPr>
        <w:t xml:space="preserve">Белокаменское </w:t>
      </w:r>
      <w:r w:rsidRPr="00DD2F59">
        <w:rPr>
          <w:rFonts w:ascii="Times New Roman" w:hAnsi="Times New Roman" w:cs="Times New Roman"/>
          <w:sz w:val="28"/>
          <w:szCs w:val="28"/>
        </w:rPr>
        <w:t>решил:</w:t>
      </w:r>
    </w:p>
    <w:p w14:paraId="317B289F" w14:textId="2D430C8E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местные </w:t>
      </w:r>
      <w:hyperlink r:id="rId8">
        <w:r w:rsidRPr="00DD2F59">
          <w:rPr>
            <w:rFonts w:ascii="Times New Roman" w:hAnsi="Times New Roman" w:cs="Times New Roman"/>
            <w:sz w:val="28"/>
            <w:szCs w:val="28"/>
          </w:rPr>
          <w:t>нормативы</w:t>
        </w:r>
      </w:hyperlink>
      <w:r w:rsidRPr="00DD2F59">
        <w:rPr>
          <w:rFonts w:ascii="Times New Roman" w:hAnsi="Times New Roman" w:cs="Times New Roman"/>
          <w:sz w:val="28"/>
          <w:szCs w:val="28"/>
        </w:rPr>
        <w:t xml:space="preserve"> градостроительного проектирования сельского поселения Белокаменское</w:t>
      </w:r>
      <w:r w:rsidRPr="00DD2F59">
        <w:rPr>
          <w:rFonts w:ascii="Times New Roman" w:hAnsi="Times New Roman" w:cs="Times New Roman"/>
          <w:sz w:val="28"/>
          <w:szCs w:val="28"/>
        </w:rPr>
        <w:t xml:space="preserve">, </w:t>
      </w:r>
      <w:r w:rsidRPr="00DD2F59">
        <w:rPr>
          <w:rFonts w:ascii="Times New Roman" w:hAnsi="Times New Roman" w:cs="Times New Roman"/>
          <w:sz w:val="28"/>
          <w:szCs w:val="28"/>
        </w:rPr>
        <w:t xml:space="preserve">утвержденные решением Совета местного самоуправления сельского поселения </w:t>
      </w:r>
      <w:r w:rsidRPr="00DD2F59">
        <w:rPr>
          <w:rFonts w:ascii="Times New Roman" w:hAnsi="Times New Roman" w:cs="Times New Roman"/>
          <w:sz w:val="28"/>
          <w:szCs w:val="28"/>
        </w:rPr>
        <w:t xml:space="preserve">Белокаменское </w:t>
      </w:r>
      <w:r w:rsidRPr="00DD2F59">
        <w:rPr>
          <w:rFonts w:ascii="Times New Roman" w:hAnsi="Times New Roman" w:cs="Times New Roman"/>
          <w:sz w:val="28"/>
          <w:szCs w:val="28"/>
        </w:rPr>
        <w:t xml:space="preserve"> от </w:t>
      </w:r>
      <w:r w:rsidRPr="00DD2F59">
        <w:rPr>
          <w:rFonts w:ascii="Times New Roman" w:hAnsi="Times New Roman" w:cs="Times New Roman"/>
          <w:sz w:val="28"/>
          <w:szCs w:val="28"/>
        </w:rPr>
        <w:t>19.12.20</w:t>
      </w:r>
      <w:r w:rsidR="00C33BC9">
        <w:rPr>
          <w:rFonts w:ascii="Times New Roman" w:hAnsi="Times New Roman" w:cs="Times New Roman"/>
          <w:sz w:val="28"/>
          <w:szCs w:val="28"/>
        </w:rPr>
        <w:t>18</w:t>
      </w:r>
      <w:bookmarkStart w:id="0" w:name="_GoBack"/>
      <w:bookmarkEnd w:id="0"/>
      <w:r w:rsidRPr="00DD2F59">
        <w:rPr>
          <w:rFonts w:ascii="Times New Roman" w:hAnsi="Times New Roman" w:cs="Times New Roman"/>
          <w:sz w:val="28"/>
          <w:szCs w:val="28"/>
        </w:rPr>
        <w:t>г. N</w:t>
      </w:r>
      <w:r w:rsidRPr="00DD2F59">
        <w:rPr>
          <w:rFonts w:ascii="Times New Roman" w:hAnsi="Times New Roman" w:cs="Times New Roman"/>
          <w:sz w:val="28"/>
          <w:szCs w:val="28"/>
        </w:rPr>
        <w:t xml:space="preserve"> 2/15</w:t>
      </w:r>
      <w:r w:rsidRPr="00DD2F59">
        <w:rPr>
          <w:rFonts w:ascii="Times New Roman" w:hAnsi="Times New Roman" w:cs="Times New Roman"/>
          <w:sz w:val="28"/>
          <w:szCs w:val="28"/>
        </w:rPr>
        <w:t>, дополнив их главой 1</w:t>
      </w:r>
      <w:r w:rsidRPr="00DD2F59">
        <w:rPr>
          <w:rFonts w:ascii="Times New Roman" w:hAnsi="Times New Roman" w:cs="Times New Roman"/>
          <w:sz w:val="28"/>
          <w:szCs w:val="28"/>
        </w:rPr>
        <w:t>2</w:t>
      </w:r>
      <w:r w:rsidRPr="00DD2F59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14:paraId="5CD22770" w14:textId="426C96A0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1</w:t>
      </w:r>
      <w:r w:rsidRPr="00DD2F59">
        <w:rPr>
          <w:rFonts w:ascii="Times New Roman" w:hAnsi="Times New Roman" w:cs="Times New Roman"/>
          <w:sz w:val="28"/>
          <w:szCs w:val="28"/>
        </w:rPr>
        <w:t>2</w:t>
      </w:r>
      <w:r w:rsidRPr="00DD2F59">
        <w:rPr>
          <w:rFonts w:ascii="Times New Roman" w:hAnsi="Times New Roman" w:cs="Times New Roman"/>
          <w:sz w:val="28"/>
          <w:szCs w:val="28"/>
        </w:rPr>
        <w:t>. Отдельные положения Местных нормативов градостроительного проектирования в отношении социально значимых аспектов градостроительной деятельности</w:t>
      </w:r>
    </w:p>
    <w:p w14:paraId="053FDF10" w14:textId="0690B1B3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1</w:t>
      </w:r>
      <w:r w:rsidRPr="00DD2F59">
        <w:rPr>
          <w:rFonts w:ascii="Times New Roman" w:hAnsi="Times New Roman" w:cs="Times New Roman"/>
          <w:sz w:val="28"/>
          <w:szCs w:val="28"/>
        </w:rPr>
        <w:t>2</w:t>
      </w:r>
      <w:r w:rsidRPr="00DD2F59">
        <w:rPr>
          <w:rFonts w:ascii="Times New Roman" w:hAnsi="Times New Roman" w:cs="Times New Roman"/>
          <w:sz w:val="28"/>
          <w:szCs w:val="28"/>
        </w:rPr>
        <w:t>.1. Правила размещения на территории сельского поселения</w:t>
      </w:r>
      <w:r w:rsidRPr="00DD2F59">
        <w:rPr>
          <w:rFonts w:ascii="Times New Roman" w:hAnsi="Times New Roman" w:cs="Times New Roman"/>
          <w:sz w:val="28"/>
          <w:szCs w:val="28"/>
        </w:rPr>
        <w:t xml:space="preserve"> </w:t>
      </w:r>
      <w:r w:rsidRPr="00DD2F59">
        <w:rPr>
          <w:rFonts w:ascii="Times New Roman" w:hAnsi="Times New Roman" w:cs="Times New Roman"/>
          <w:sz w:val="28"/>
          <w:szCs w:val="28"/>
        </w:rPr>
        <w:t>Белокаменское</w:t>
      </w:r>
      <w:r w:rsidRPr="00DD2F59">
        <w:rPr>
          <w:rFonts w:ascii="Times New Roman" w:hAnsi="Times New Roman" w:cs="Times New Roman"/>
          <w:sz w:val="28"/>
          <w:szCs w:val="28"/>
        </w:rPr>
        <w:t xml:space="preserve"> </w:t>
      </w:r>
      <w:r w:rsidRPr="00DD2F59">
        <w:rPr>
          <w:rFonts w:ascii="Times New Roman" w:hAnsi="Times New Roman" w:cs="Times New Roman"/>
          <w:sz w:val="28"/>
          <w:szCs w:val="28"/>
        </w:rPr>
        <w:t>велосипедных дорожек и полос для велосипедистов, инфраструктуры для велосипедного движения.</w:t>
      </w:r>
    </w:p>
    <w:p w14:paraId="7E5D2773" w14:textId="4CE67DED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1</w:t>
      </w:r>
      <w:r w:rsidRPr="00DD2F59">
        <w:rPr>
          <w:rFonts w:ascii="Times New Roman" w:hAnsi="Times New Roman" w:cs="Times New Roman"/>
          <w:sz w:val="28"/>
          <w:szCs w:val="28"/>
        </w:rPr>
        <w:t>2</w:t>
      </w:r>
      <w:r w:rsidRPr="00DD2F59">
        <w:rPr>
          <w:rFonts w:ascii="Times New Roman" w:hAnsi="Times New Roman" w:cs="Times New Roman"/>
          <w:sz w:val="28"/>
          <w:szCs w:val="28"/>
        </w:rPr>
        <w:t>.1.1. Область применения.</w:t>
      </w:r>
    </w:p>
    <w:p w14:paraId="56BF6149" w14:textId="562844F9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Правила размещения на территории сельского поселения</w:t>
      </w:r>
      <w:r w:rsidRPr="00DD2F59">
        <w:rPr>
          <w:rFonts w:ascii="Times New Roman" w:hAnsi="Times New Roman" w:cs="Times New Roman"/>
          <w:sz w:val="28"/>
          <w:szCs w:val="28"/>
        </w:rPr>
        <w:t xml:space="preserve"> </w:t>
      </w:r>
      <w:r w:rsidRPr="00DD2F59">
        <w:rPr>
          <w:rFonts w:ascii="Times New Roman" w:hAnsi="Times New Roman" w:cs="Times New Roman"/>
          <w:sz w:val="28"/>
          <w:szCs w:val="28"/>
        </w:rPr>
        <w:t>Белокаменское</w:t>
      </w:r>
      <w:r w:rsidRPr="00DD2F59">
        <w:rPr>
          <w:rFonts w:ascii="Times New Roman" w:hAnsi="Times New Roman" w:cs="Times New Roman"/>
          <w:sz w:val="28"/>
          <w:szCs w:val="28"/>
        </w:rPr>
        <w:t xml:space="preserve"> </w:t>
      </w:r>
      <w:r w:rsidRPr="00DD2F59">
        <w:rPr>
          <w:rFonts w:ascii="Times New Roman" w:hAnsi="Times New Roman" w:cs="Times New Roman"/>
          <w:sz w:val="28"/>
          <w:szCs w:val="28"/>
        </w:rPr>
        <w:t>велосипедных дорожек и полос для велосипедистов, инфраструктуры для велосипедного движения применяются при подготовке документов территориального планирования городского округа Нальчик, при подготовке документации по планировке и межеванию территории, на стадиях архитектурно-строительного проектирования, строительства, реконструкции объектов капитального строительства.</w:t>
      </w:r>
    </w:p>
    <w:p w14:paraId="070406C3" w14:textId="77D496BA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DD2F59">
        <w:rPr>
          <w:rFonts w:ascii="Times New Roman" w:hAnsi="Times New Roman" w:cs="Times New Roman"/>
          <w:sz w:val="28"/>
          <w:szCs w:val="28"/>
        </w:rPr>
        <w:t>2</w:t>
      </w:r>
      <w:r w:rsidRPr="00DD2F59">
        <w:rPr>
          <w:rFonts w:ascii="Times New Roman" w:hAnsi="Times New Roman" w:cs="Times New Roman"/>
          <w:sz w:val="28"/>
          <w:szCs w:val="28"/>
        </w:rPr>
        <w:t>.1.2. Качественные и количественные характеристики.</w:t>
      </w:r>
    </w:p>
    <w:p w14:paraId="40842721" w14:textId="7C15EEA3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1</w:t>
      </w:r>
      <w:r w:rsidRPr="00DD2F59">
        <w:rPr>
          <w:rFonts w:ascii="Times New Roman" w:hAnsi="Times New Roman" w:cs="Times New Roman"/>
          <w:sz w:val="28"/>
          <w:szCs w:val="28"/>
        </w:rPr>
        <w:t>2</w:t>
      </w:r>
      <w:r w:rsidRPr="00DD2F59">
        <w:rPr>
          <w:rFonts w:ascii="Times New Roman" w:hAnsi="Times New Roman" w:cs="Times New Roman"/>
          <w:sz w:val="28"/>
          <w:szCs w:val="28"/>
        </w:rPr>
        <w:t>.1.2.1. Формирование инфраструктуры для велосипедного движения.</w:t>
      </w:r>
    </w:p>
    <w:p w14:paraId="28DDF0FC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Инфраструктура для велосипедного движения формируется в виде взаимоувязанной сети велосипедных путей (велосипедных дорожек и (или) полос для движения велосипедного транспорта) на городских территориях различного функционального назначения.</w:t>
      </w:r>
    </w:p>
    <w:p w14:paraId="6572BEC6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При организации велосипедных путей доступ велосипедистов на иные транспортные коммуникации ограничивается.</w:t>
      </w:r>
    </w:p>
    <w:p w14:paraId="7E0D99DA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Расчетную скорость для велосипедистов следует принимать 20 км/ч. На подъездах к пересечениям или подземным проходам расчетная скорость может быть снижена до 10 км/ч.</w:t>
      </w:r>
    </w:p>
    <w:p w14:paraId="6AD43DEC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На велосипедных путях и их пересечениях следует предусматривать расстояние видимости, достаточное для безопасного движения транспортных средств и пешеходов в соответствии с требованиями части 5.7СП396.1325800.2018 "Улицы и дороги населенных пунктов. Правила градостроительного проектирования", утвержденного </w:t>
      </w:r>
      <w:hyperlink r:id="rId9">
        <w:r w:rsidRPr="00DD2F59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DD2F59">
        <w:rPr>
          <w:rFonts w:ascii="Times New Roman" w:hAnsi="Times New Roman" w:cs="Times New Roman"/>
          <w:sz w:val="28"/>
          <w:szCs w:val="28"/>
        </w:rPr>
        <w:t xml:space="preserve"> Министерства строительства и жилищно-коммунального хозяйства Российской Федерации от 01.08.2018 N 474/пр.</w:t>
      </w:r>
    </w:p>
    <w:p w14:paraId="6B587F24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Освещенность велосипедных полос и дорожек должна соответствовать ГОСТ Р 55844-2013 "Освещение наружное утилитарное дорог и пешеходных зон. Нормы", утвержденному </w:t>
      </w:r>
      <w:hyperlink r:id="rId10">
        <w:r w:rsidRPr="00DD2F59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DD2F59">
        <w:rPr>
          <w:rFonts w:ascii="Times New Roman" w:hAnsi="Times New Roman" w:cs="Times New Roman"/>
          <w:sz w:val="28"/>
          <w:szCs w:val="28"/>
        </w:rPr>
        <w:t xml:space="preserve"> Федерального агентства по техническому регулированию и метрологии от 22.11.2013 N 1784-ст.</w:t>
      </w:r>
    </w:p>
    <w:p w14:paraId="3D128462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Количество полос движения назначается в зависимости от прогнозируемой интенсивности велосипедного движения из расчета 1500 </w:t>
      </w:r>
      <w:proofErr w:type="gramStart"/>
      <w:r w:rsidRPr="00DD2F59">
        <w:rPr>
          <w:rFonts w:ascii="Times New Roman" w:hAnsi="Times New Roman" w:cs="Times New Roman"/>
          <w:sz w:val="28"/>
          <w:szCs w:val="28"/>
        </w:rPr>
        <w:t>вел./</w:t>
      </w:r>
      <w:proofErr w:type="gramEnd"/>
      <w:r w:rsidRPr="00DD2F59">
        <w:rPr>
          <w:rFonts w:ascii="Times New Roman" w:hAnsi="Times New Roman" w:cs="Times New Roman"/>
          <w:sz w:val="28"/>
          <w:szCs w:val="28"/>
        </w:rPr>
        <w:t>ч на одну велосипедную полосу при одностороннем движении, 1000 вел./ч на одну велосипедную полосу при двустороннем движении.</w:t>
      </w:r>
    </w:p>
    <w:p w14:paraId="0A6D8AA2" w14:textId="4F964396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Минимальные расстояния от велосипедных дорожек и полос до боковых препятствий следует принимать по таблице N </w:t>
      </w:r>
      <w:r w:rsidRPr="00DD2F59">
        <w:rPr>
          <w:rFonts w:ascii="Times New Roman" w:hAnsi="Times New Roman" w:cs="Times New Roman"/>
          <w:sz w:val="28"/>
          <w:szCs w:val="28"/>
        </w:rPr>
        <w:t>28</w:t>
      </w:r>
      <w:r w:rsidRPr="00DD2F59">
        <w:rPr>
          <w:rFonts w:ascii="Times New Roman" w:hAnsi="Times New Roman" w:cs="Times New Roman"/>
          <w:sz w:val="28"/>
          <w:szCs w:val="28"/>
        </w:rPr>
        <w:t>.</w:t>
      </w:r>
    </w:p>
    <w:p w14:paraId="276C12F7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820445A" w14:textId="00B5A0C3" w:rsidR="00DD2F59" w:rsidRPr="00DD2F59" w:rsidRDefault="00DD2F59" w:rsidP="00DD2F59">
      <w:pPr>
        <w:pStyle w:val="ConsPlusNormal"/>
        <w:ind w:left="-426" w:firstLine="426"/>
        <w:jc w:val="right"/>
        <w:rPr>
          <w:rFonts w:ascii="Times New Roman" w:hAnsi="Times New Roman" w:cs="Times New Roman"/>
          <w:sz w:val="28"/>
          <w:szCs w:val="28"/>
        </w:rPr>
      </w:pPr>
      <w:bookmarkStart w:id="1" w:name="P55"/>
      <w:bookmarkEnd w:id="1"/>
      <w:r w:rsidRPr="00DD2F59">
        <w:rPr>
          <w:rFonts w:ascii="Times New Roman" w:hAnsi="Times New Roman" w:cs="Times New Roman"/>
          <w:sz w:val="28"/>
          <w:szCs w:val="28"/>
        </w:rPr>
        <w:t xml:space="preserve">Таблица N </w:t>
      </w:r>
      <w:r w:rsidRPr="00DD2F59">
        <w:rPr>
          <w:rFonts w:ascii="Times New Roman" w:hAnsi="Times New Roman" w:cs="Times New Roman"/>
          <w:sz w:val="28"/>
          <w:szCs w:val="28"/>
        </w:rPr>
        <w:t>28</w:t>
      </w:r>
    </w:p>
    <w:p w14:paraId="08EB1A7F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3"/>
        <w:gridCol w:w="1474"/>
        <w:gridCol w:w="1474"/>
      </w:tblGrid>
      <w:tr w:rsidR="00DD2F59" w:rsidRPr="00DD2F59" w14:paraId="6AE83924" w14:textId="77777777" w:rsidTr="008D08DA">
        <w:tc>
          <w:tcPr>
            <w:tcW w:w="6123" w:type="dxa"/>
          </w:tcPr>
          <w:p w14:paraId="3E643FE5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Минимальное расстояние</w:t>
            </w:r>
          </w:p>
        </w:tc>
        <w:tc>
          <w:tcPr>
            <w:tcW w:w="1474" w:type="dxa"/>
          </w:tcPr>
          <w:p w14:paraId="26F41227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Велосипедная дорожка, м</w:t>
            </w:r>
          </w:p>
        </w:tc>
        <w:tc>
          <w:tcPr>
            <w:tcW w:w="1474" w:type="dxa"/>
            <w:vAlign w:val="bottom"/>
          </w:tcPr>
          <w:p w14:paraId="7C693376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Велосипедная полоса, м</w:t>
            </w:r>
          </w:p>
        </w:tc>
      </w:tr>
      <w:tr w:rsidR="00DD2F59" w:rsidRPr="00DD2F59" w14:paraId="4EF29969" w14:textId="77777777" w:rsidTr="008D08DA">
        <w:tc>
          <w:tcPr>
            <w:tcW w:w="6123" w:type="dxa"/>
          </w:tcPr>
          <w:p w14:paraId="69E4FCE8" w14:textId="77777777" w:rsidR="00DD2F59" w:rsidRPr="00DD2F59" w:rsidRDefault="00DD2F59" w:rsidP="00DD2F59">
            <w:pPr>
              <w:pStyle w:val="ConsPlusNormal"/>
              <w:ind w:left="-426"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До проезжей части, опор, деревьев</w:t>
            </w:r>
          </w:p>
        </w:tc>
        <w:tc>
          <w:tcPr>
            <w:tcW w:w="1474" w:type="dxa"/>
          </w:tcPr>
          <w:p w14:paraId="10C7409A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1474" w:type="dxa"/>
          </w:tcPr>
          <w:p w14:paraId="47061223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</w:tr>
      <w:tr w:rsidR="00DD2F59" w:rsidRPr="00DD2F59" w14:paraId="00951FA4" w14:textId="77777777" w:rsidTr="008D08DA">
        <w:tc>
          <w:tcPr>
            <w:tcW w:w="6123" w:type="dxa"/>
          </w:tcPr>
          <w:p w14:paraId="4BF44309" w14:textId="77777777" w:rsidR="00DD2F59" w:rsidRPr="00DD2F59" w:rsidRDefault="00DD2F59" w:rsidP="00DD2F59">
            <w:pPr>
              <w:pStyle w:val="ConsPlusNormal"/>
              <w:ind w:left="-426"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До стоянок автомобилей (параллельных/под углом)</w:t>
            </w:r>
          </w:p>
        </w:tc>
        <w:tc>
          <w:tcPr>
            <w:tcW w:w="2948" w:type="dxa"/>
            <w:gridSpan w:val="2"/>
            <w:vAlign w:val="bottom"/>
          </w:tcPr>
          <w:p w14:paraId="74BC8DB4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0,75/0,25</w:t>
            </w:r>
          </w:p>
        </w:tc>
      </w:tr>
      <w:tr w:rsidR="00DD2F59" w:rsidRPr="00DD2F59" w14:paraId="7BDC38EC" w14:textId="77777777" w:rsidTr="008D08DA">
        <w:tc>
          <w:tcPr>
            <w:tcW w:w="6123" w:type="dxa"/>
          </w:tcPr>
          <w:p w14:paraId="73EB83C2" w14:textId="77777777" w:rsidR="00DD2F59" w:rsidRPr="00DD2F59" w:rsidRDefault="00DD2F59" w:rsidP="00DD2F59">
            <w:pPr>
              <w:pStyle w:val="ConsPlusNormal"/>
              <w:ind w:left="-426"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До тротуаров</w:t>
            </w:r>
          </w:p>
        </w:tc>
        <w:tc>
          <w:tcPr>
            <w:tcW w:w="1474" w:type="dxa"/>
          </w:tcPr>
          <w:p w14:paraId="2D2A97A0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1474" w:type="dxa"/>
          </w:tcPr>
          <w:p w14:paraId="56079497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  <w:tr w:rsidR="00DD2F59" w:rsidRPr="00DD2F59" w14:paraId="593A4555" w14:textId="77777777" w:rsidTr="008D08DA">
        <w:tc>
          <w:tcPr>
            <w:tcW w:w="6123" w:type="dxa"/>
          </w:tcPr>
          <w:p w14:paraId="4A80AE4B" w14:textId="77777777" w:rsidR="00DD2F59" w:rsidRPr="00DD2F59" w:rsidRDefault="00DD2F59" w:rsidP="00DD2F59">
            <w:pPr>
              <w:pStyle w:val="ConsPlusNormal"/>
              <w:ind w:left="-426"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 xml:space="preserve">До зданий, оград и </w:t>
            </w:r>
            <w:proofErr w:type="gramStart"/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других построек</w:t>
            </w:r>
            <w:proofErr w:type="gramEnd"/>
            <w:r w:rsidRPr="00DD2F59">
              <w:rPr>
                <w:rFonts w:ascii="Times New Roman" w:hAnsi="Times New Roman" w:cs="Times New Roman"/>
                <w:sz w:val="28"/>
                <w:szCs w:val="28"/>
              </w:rPr>
              <w:t xml:space="preserve"> и сооружений</w:t>
            </w:r>
          </w:p>
        </w:tc>
        <w:tc>
          <w:tcPr>
            <w:tcW w:w="2948" w:type="dxa"/>
            <w:gridSpan w:val="2"/>
          </w:tcPr>
          <w:p w14:paraId="45AB5720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</w:tr>
    </w:tbl>
    <w:p w14:paraId="2B82BE7F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1D2E833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lastRenderedPageBreak/>
        <w:t xml:space="preserve">10.1.2.2. Планировочные параметры </w:t>
      </w:r>
      <w:proofErr w:type="spellStart"/>
      <w:r w:rsidRPr="00DD2F59">
        <w:rPr>
          <w:rFonts w:ascii="Times New Roman" w:hAnsi="Times New Roman" w:cs="Times New Roman"/>
          <w:sz w:val="28"/>
          <w:szCs w:val="28"/>
        </w:rPr>
        <w:t>велокоммуникаций</w:t>
      </w:r>
      <w:proofErr w:type="spellEnd"/>
      <w:r w:rsidRPr="00DD2F59">
        <w:rPr>
          <w:rFonts w:ascii="Times New Roman" w:hAnsi="Times New Roman" w:cs="Times New Roman"/>
          <w:sz w:val="28"/>
          <w:szCs w:val="28"/>
        </w:rPr>
        <w:t>.</w:t>
      </w:r>
    </w:p>
    <w:p w14:paraId="2322D31B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Выбор типа велосипедных путей осуществляется исходя из величины прогнозируемой интенсивности велосипедного движения, интенсивности использования прочих транспортных коммуникаций и планировочных возможностей на проектируемой территории.</w:t>
      </w:r>
    </w:p>
    <w:p w14:paraId="0A097FD7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Допускается возможность организации по велосипедной дорожке как одностороннего, так и двустороннего движения.</w:t>
      </w:r>
    </w:p>
    <w:p w14:paraId="3D6FCC62" w14:textId="6AB5D73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48FBCDE8" w14:textId="387A0DCA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Ширину велосипедных путей следует принимать по расчету необходимого количества полос движения. Ширину одной полосы следует принимать по таблице N </w:t>
      </w:r>
      <w:r w:rsidRPr="00DD2F59">
        <w:rPr>
          <w:rFonts w:ascii="Times New Roman" w:hAnsi="Times New Roman" w:cs="Times New Roman"/>
          <w:sz w:val="28"/>
          <w:szCs w:val="28"/>
        </w:rPr>
        <w:t>29.</w:t>
      </w:r>
    </w:p>
    <w:p w14:paraId="7F17182A" w14:textId="3DAC3AE4" w:rsidR="00DD2F59" w:rsidRPr="00DD2F59" w:rsidRDefault="00DD2F59" w:rsidP="00DD2F59">
      <w:pPr>
        <w:pStyle w:val="ConsPlusNormal"/>
        <w:ind w:left="-426"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Таблица N </w:t>
      </w:r>
      <w:r w:rsidRPr="00DD2F59">
        <w:rPr>
          <w:rFonts w:ascii="Times New Roman" w:hAnsi="Times New Roman" w:cs="Times New Roman"/>
          <w:sz w:val="28"/>
          <w:szCs w:val="28"/>
        </w:rPr>
        <w:t>29.</w:t>
      </w:r>
    </w:p>
    <w:p w14:paraId="34071020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3"/>
        <w:gridCol w:w="1644"/>
        <w:gridCol w:w="1474"/>
      </w:tblGrid>
      <w:tr w:rsidR="00DD2F59" w:rsidRPr="00DD2F59" w14:paraId="64A76F2C" w14:textId="77777777" w:rsidTr="008D08DA">
        <w:tc>
          <w:tcPr>
            <w:tcW w:w="5953" w:type="dxa"/>
            <w:vMerge w:val="restart"/>
          </w:tcPr>
          <w:p w14:paraId="0E0261B0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Тип велосипедного пути</w:t>
            </w:r>
          </w:p>
        </w:tc>
        <w:tc>
          <w:tcPr>
            <w:tcW w:w="3118" w:type="dxa"/>
            <w:gridSpan w:val="2"/>
          </w:tcPr>
          <w:p w14:paraId="0C6A4A0C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Ширина полосы, м, при движении</w:t>
            </w:r>
          </w:p>
        </w:tc>
      </w:tr>
      <w:tr w:rsidR="00DD2F59" w:rsidRPr="00DD2F59" w14:paraId="76EE0816" w14:textId="77777777" w:rsidTr="008D08DA">
        <w:tc>
          <w:tcPr>
            <w:tcW w:w="5953" w:type="dxa"/>
            <w:vMerge/>
          </w:tcPr>
          <w:p w14:paraId="0660C966" w14:textId="77777777" w:rsidR="00DD2F59" w:rsidRPr="00DD2F59" w:rsidRDefault="00DD2F59" w:rsidP="00DD2F59">
            <w:pPr>
              <w:pStyle w:val="ConsPlusNormal"/>
              <w:ind w:left="-426" w:firstLine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14:paraId="4A1AFC6F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одностороннем</w:t>
            </w:r>
          </w:p>
        </w:tc>
        <w:tc>
          <w:tcPr>
            <w:tcW w:w="1474" w:type="dxa"/>
          </w:tcPr>
          <w:p w14:paraId="085318E0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двустороннем</w:t>
            </w:r>
          </w:p>
        </w:tc>
      </w:tr>
      <w:tr w:rsidR="00DD2F59" w:rsidRPr="00DD2F59" w14:paraId="53D9A42C" w14:textId="77777777" w:rsidTr="008D08DA">
        <w:trPr>
          <w:trHeight w:val="536"/>
        </w:trPr>
        <w:tc>
          <w:tcPr>
            <w:tcW w:w="5953" w:type="dxa"/>
          </w:tcPr>
          <w:p w14:paraId="24B93578" w14:textId="77777777" w:rsidR="00DD2F59" w:rsidRPr="00DD2F59" w:rsidRDefault="00DD2F59" w:rsidP="00DD2F59">
            <w:pPr>
              <w:pStyle w:val="ConsPlusNormal"/>
              <w:ind w:left="-426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Полоса, выделенная в пределах полосы движения автомобилей</w:t>
            </w:r>
          </w:p>
        </w:tc>
        <w:tc>
          <w:tcPr>
            <w:tcW w:w="1644" w:type="dxa"/>
          </w:tcPr>
          <w:p w14:paraId="704511A2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74" w:type="dxa"/>
          </w:tcPr>
          <w:p w14:paraId="24C27A46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D2F59" w:rsidRPr="00DD2F59" w14:paraId="28890DF1" w14:textId="77777777" w:rsidTr="008D08DA">
        <w:tc>
          <w:tcPr>
            <w:tcW w:w="5953" w:type="dxa"/>
          </w:tcPr>
          <w:p w14:paraId="5F7C1688" w14:textId="77777777" w:rsidR="00DD2F59" w:rsidRPr="00DD2F59" w:rsidRDefault="00DD2F59" w:rsidP="00DD2F59">
            <w:pPr>
              <w:pStyle w:val="ConsPlusNormal"/>
              <w:ind w:left="-426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Полоса, совмещенная с проезжей частью</w:t>
            </w:r>
          </w:p>
        </w:tc>
        <w:tc>
          <w:tcPr>
            <w:tcW w:w="1644" w:type="dxa"/>
          </w:tcPr>
          <w:p w14:paraId="3679447C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 xml:space="preserve">1,5 </w:t>
            </w:r>
            <w:hyperlink w:anchor="P96">
              <w:r w:rsidRPr="00DD2F59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474" w:type="dxa"/>
          </w:tcPr>
          <w:p w14:paraId="65452428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D2F59" w:rsidRPr="00DD2F59" w14:paraId="0C106692" w14:textId="77777777" w:rsidTr="008D08DA">
        <w:tc>
          <w:tcPr>
            <w:tcW w:w="5953" w:type="dxa"/>
          </w:tcPr>
          <w:p w14:paraId="2CE8903F" w14:textId="77777777" w:rsidR="00DD2F59" w:rsidRPr="00DD2F59" w:rsidRDefault="00DD2F59" w:rsidP="00DD2F59">
            <w:pPr>
              <w:pStyle w:val="ConsPlusNormal"/>
              <w:ind w:left="-426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Полоса, отделенная от проезжей части парковкой</w:t>
            </w:r>
          </w:p>
        </w:tc>
        <w:tc>
          <w:tcPr>
            <w:tcW w:w="1644" w:type="dxa"/>
          </w:tcPr>
          <w:p w14:paraId="70F2957A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474" w:type="dxa"/>
          </w:tcPr>
          <w:p w14:paraId="255D6C4C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DD2F59" w:rsidRPr="00DD2F59" w14:paraId="44339978" w14:textId="77777777" w:rsidTr="008D08DA">
        <w:tc>
          <w:tcPr>
            <w:tcW w:w="5953" w:type="dxa"/>
          </w:tcPr>
          <w:p w14:paraId="6C3BA309" w14:textId="77777777" w:rsidR="00DD2F59" w:rsidRPr="00DD2F59" w:rsidRDefault="00DD2F59" w:rsidP="00DD2F59">
            <w:pPr>
              <w:pStyle w:val="ConsPlusNormal"/>
              <w:ind w:left="-426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Велосипедная дорожка</w:t>
            </w:r>
          </w:p>
        </w:tc>
        <w:tc>
          <w:tcPr>
            <w:tcW w:w="1644" w:type="dxa"/>
          </w:tcPr>
          <w:p w14:paraId="46EA92B8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474" w:type="dxa"/>
          </w:tcPr>
          <w:p w14:paraId="300B7FD3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</w:tbl>
    <w:p w14:paraId="0A9365F1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6"/>
      <w:bookmarkEnd w:id="2"/>
      <w:r w:rsidRPr="00DD2F59">
        <w:rPr>
          <w:rFonts w:ascii="Times New Roman" w:hAnsi="Times New Roman" w:cs="Times New Roman"/>
          <w:sz w:val="28"/>
          <w:szCs w:val="28"/>
        </w:rPr>
        <w:t>&lt;*&gt; значение ширины полосы, которое допускается уменьшать до 1,2 м при попутном движении.</w:t>
      </w:r>
    </w:p>
    <w:p w14:paraId="53BA7DC1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4773F96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При расчете габаритов велосипедной дорожки к ее ширине необходимо добавлять зазоры безопасности с покрытием, аналогичным покрытию велосипедных полос. Ширину зазоров следует принимать в соответствии с </w:t>
      </w:r>
      <w:hyperlink w:anchor="P55">
        <w:r w:rsidRPr="00DD2F59">
          <w:rPr>
            <w:rFonts w:ascii="Times New Roman" w:hAnsi="Times New Roman" w:cs="Times New Roman"/>
            <w:sz w:val="28"/>
            <w:szCs w:val="28"/>
          </w:rPr>
          <w:t>таблицей N 28</w:t>
        </w:r>
      </w:hyperlink>
      <w:r w:rsidRPr="00DD2F59">
        <w:rPr>
          <w:rFonts w:ascii="Times New Roman" w:hAnsi="Times New Roman" w:cs="Times New Roman"/>
          <w:sz w:val="28"/>
          <w:szCs w:val="28"/>
        </w:rPr>
        <w:t>.</w:t>
      </w:r>
    </w:p>
    <w:p w14:paraId="5DCF3B9A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На кривых малого радиуса, на крутых спусках и при прохождении велосипедной дорожки в непосредственной близости от крупных транспортных коммуникаций для обеспечения безопасности участников движения велосипедные дорожки следует оборудовать ограждениями.</w:t>
      </w:r>
    </w:p>
    <w:p w14:paraId="722E622D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Продольный уклон велосипедных путей должен соответствовать продольному уклону проезжей части. Не рекомендуется применять велосипедные дорожки и полосы с двусторонним движением при продольных уклонах проезжей части улицы или дороги более 30%.</w:t>
      </w:r>
    </w:p>
    <w:p w14:paraId="78795360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Минимальный внутренний радиус кривой велосипедной дорожки в плане вне пересечений - 5 м, на пересечениях - 3 м. Рекомендуемый радиус кривых в плане на велосипедных дорожках на протяженных прямых участках и основных </w:t>
      </w:r>
      <w:r w:rsidRPr="00DD2F59">
        <w:rPr>
          <w:rFonts w:ascii="Times New Roman" w:hAnsi="Times New Roman" w:cs="Times New Roman"/>
          <w:sz w:val="28"/>
          <w:szCs w:val="28"/>
        </w:rPr>
        <w:lastRenderedPageBreak/>
        <w:t>велосипедных маршрутах - 20 м. Минимальный радиус вогнутых вертикальных кривых - 100 м, выпуклых - 400 м.</w:t>
      </w:r>
    </w:p>
    <w:p w14:paraId="618093F7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Рекомендуемые длины подъемов велосипедной дорожки в зависимости от продольного уклона:</w:t>
      </w:r>
    </w:p>
    <w:p w14:paraId="1CB961F2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099"/>
        <w:gridCol w:w="1099"/>
        <w:gridCol w:w="1191"/>
        <w:gridCol w:w="1361"/>
        <w:gridCol w:w="1392"/>
      </w:tblGrid>
      <w:tr w:rsidR="00DD2F59" w:rsidRPr="00DD2F59" w14:paraId="7C4CA53C" w14:textId="77777777" w:rsidTr="008D08DA">
        <w:tc>
          <w:tcPr>
            <w:tcW w:w="2891" w:type="dxa"/>
          </w:tcPr>
          <w:p w14:paraId="0EEF3405" w14:textId="77777777" w:rsidR="00DD2F59" w:rsidRPr="00DD2F59" w:rsidRDefault="00DD2F59" w:rsidP="00DD2F59">
            <w:pPr>
              <w:pStyle w:val="ConsPlusNormal"/>
              <w:ind w:left="-426"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Продольный уклон велосипедной дорожки, %</w:t>
            </w:r>
          </w:p>
        </w:tc>
        <w:tc>
          <w:tcPr>
            <w:tcW w:w="1099" w:type="dxa"/>
          </w:tcPr>
          <w:p w14:paraId="09AB52A6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099" w:type="dxa"/>
          </w:tcPr>
          <w:p w14:paraId="0C8E71F1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91" w:type="dxa"/>
          </w:tcPr>
          <w:p w14:paraId="4FB5D08A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361" w:type="dxa"/>
          </w:tcPr>
          <w:p w14:paraId="0D0E1B7F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392" w:type="dxa"/>
          </w:tcPr>
          <w:p w14:paraId="7141970C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D2F59" w:rsidRPr="00DD2F59" w14:paraId="44084EFD" w14:textId="77777777" w:rsidTr="008D08DA">
        <w:tc>
          <w:tcPr>
            <w:tcW w:w="2891" w:type="dxa"/>
          </w:tcPr>
          <w:p w14:paraId="236BF4FF" w14:textId="77777777" w:rsidR="00DD2F59" w:rsidRPr="00DD2F59" w:rsidRDefault="00DD2F59" w:rsidP="00DD2F59">
            <w:pPr>
              <w:pStyle w:val="ConsPlusNormal"/>
              <w:ind w:left="-426" w:firstLine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Рекомендуемая длина подъема, м</w:t>
            </w:r>
          </w:p>
        </w:tc>
        <w:tc>
          <w:tcPr>
            <w:tcW w:w="1099" w:type="dxa"/>
          </w:tcPr>
          <w:p w14:paraId="7FA29A66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1099" w:type="dxa"/>
          </w:tcPr>
          <w:p w14:paraId="1C0A2B00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40 - 60</w:t>
            </w:r>
          </w:p>
        </w:tc>
        <w:tc>
          <w:tcPr>
            <w:tcW w:w="1191" w:type="dxa"/>
          </w:tcPr>
          <w:p w14:paraId="4D2060DD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70 - 130</w:t>
            </w:r>
          </w:p>
        </w:tc>
        <w:tc>
          <w:tcPr>
            <w:tcW w:w="1361" w:type="dxa"/>
          </w:tcPr>
          <w:p w14:paraId="6E30CB29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150 - 250</w:t>
            </w:r>
          </w:p>
        </w:tc>
        <w:tc>
          <w:tcPr>
            <w:tcW w:w="1392" w:type="dxa"/>
          </w:tcPr>
          <w:p w14:paraId="60EECBAB" w14:textId="77777777" w:rsidR="00DD2F59" w:rsidRPr="00DD2F59" w:rsidRDefault="00DD2F59" w:rsidP="00DD2F59">
            <w:pPr>
              <w:pStyle w:val="ConsPlusNormal"/>
              <w:ind w:left="-426" w:firstLine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2F59">
              <w:rPr>
                <w:rFonts w:ascii="Times New Roman" w:hAnsi="Times New Roman" w:cs="Times New Roman"/>
                <w:sz w:val="28"/>
                <w:szCs w:val="28"/>
              </w:rPr>
              <w:t>250 - 500</w:t>
            </w:r>
          </w:p>
        </w:tc>
      </w:tr>
    </w:tbl>
    <w:p w14:paraId="0DCB2105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4BE7FE1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При уклонах более 50% следует увеличивать ширину велосипедных полос и дорожек в 1,5 раза.</w:t>
      </w:r>
    </w:p>
    <w:p w14:paraId="5B3CA404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 xml:space="preserve">Продольные уклоны велосипедных дорожек следует назначать индивидуально, но принимать не более указанных в таблице 11.6 СП42.13330.2016 "Градостроительство. Планировка и застройка городских и сельских поселений" Актуализированная редакция СНиП 2.07.01-89*, утвержденного </w:t>
      </w:r>
      <w:hyperlink r:id="rId11">
        <w:r w:rsidRPr="00DD2F59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DD2F59">
        <w:rPr>
          <w:rFonts w:ascii="Times New Roman" w:hAnsi="Times New Roman" w:cs="Times New Roman"/>
          <w:sz w:val="28"/>
          <w:szCs w:val="28"/>
        </w:rPr>
        <w:t xml:space="preserve"> Министерства строительства и жилищно-коммунального хозяйства Российской Федерации от 30.12.2016 N 1034/пр.</w:t>
      </w:r>
    </w:p>
    <w:p w14:paraId="0D315AFB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10.1.2.2. Велостоянки.</w:t>
      </w:r>
    </w:p>
    <w:p w14:paraId="397C0FD9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Размещение велостоянок следует предусматривать у объектов массового посещения, станций скоростного внеуличного транспорта, на транспортно-пересадочных узлах и тротуарах обустроенных зон, содержащих устройства для парковки велосипедов.</w:t>
      </w:r>
    </w:p>
    <w:p w14:paraId="6778C84E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Велостоянки должны быть оборудованы соответствующими парковочными устройствами, которые служат опорой велосипеду и позволяют закрепить его.</w:t>
      </w:r>
    </w:p>
    <w:p w14:paraId="1FA93553" w14:textId="77777777" w:rsidR="00DD2F59" w:rsidRPr="00DD2F59" w:rsidRDefault="00DD2F59" w:rsidP="00DD2F59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D2F59">
        <w:rPr>
          <w:rFonts w:ascii="Times New Roman" w:hAnsi="Times New Roman" w:cs="Times New Roman"/>
          <w:sz w:val="28"/>
          <w:szCs w:val="28"/>
        </w:rPr>
        <w:t>Емкость велостоянок определяют исходя из интенсивности велосипедного движения и планировочной возможности.".</w:t>
      </w:r>
    </w:p>
    <w:p w14:paraId="396F7497" w14:textId="77777777" w:rsidR="00DD2F59" w:rsidRPr="00DD2F59" w:rsidRDefault="00DD2F59" w:rsidP="00DD2F59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</w:p>
    <w:p w14:paraId="253E6EEB" w14:textId="6190E867" w:rsidR="001717EC" w:rsidRPr="00DD2F59" w:rsidRDefault="001717EC" w:rsidP="00DD2F59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</w:p>
    <w:p w14:paraId="0F30A3B1" w14:textId="580482D5" w:rsidR="00DD2F59" w:rsidRDefault="00DD2F59" w:rsidP="00DD2F59"/>
    <w:p w14:paraId="1056B3C6" w14:textId="77777777" w:rsidR="00DD2F59" w:rsidRPr="00DD2F59" w:rsidRDefault="00DD2F59" w:rsidP="00DD2F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2F59">
        <w:rPr>
          <w:rFonts w:ascii="Times New Roman" w:eastAsia="Times New Roman" w:hAnsi="Times New Roman" w:cs="Times New Roman"/>
          <w:sz w:val="28"/>
          <w:szCs w:val="28"/>
        </w:rPr>
        <w:t>Председатель Совета</w:t>
      </w:r>
    </w:p>
    <w:p w14:paraId="693B685A" w14:textId="77777777" w:rsidR="00DD2F59" w:rsidRPr="00DD2F59" w:rsidRDefault="00DD2F59" w:rsidP="00DD2F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2F59">
        <w:rPr>
          <w:rFonts w:ascii="Times New Roman" w:eastAsia="Times New Roman" w:hAnsi="Times New Roman" w:cs="Times New Roman"/>
          <w:sz w:val="28"/>
          <w:szCs w:val="28"/>
        </w:rPr>
        <w:t>местного самоуправления</w:t>
      </w:r>
    </w:p>
    <w:p w14:paraId="271F3218" w14:textId="108F63CE" w:rsidR="00DD2F59" w:rsidRPr="00DD2F59" w:rsidRDefault="00DD2F59" w:rsidP="00DD2F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2F59">
        <w:rPr>
          <w:rFonts w:ascii="Times New Roman" w:eastAsia="Times New Roman" w:hAnsi="Times New Roman" w:cs="Times New Roman"/>
          <w:sz w:val="28"/>
          <w:szCs w:val="28"/>
        </w:rPr>
        <w:t xml:space="preserve">с.п. </w:t>
      </w:r>
      <w:proofErr w:type="gramStart"/>
      <w:r w:rsidRPr="00DD2F59">
        <w:rPr>
          <w:rFonts w:ascii="Times New Roman" w:eastAsia="Times New Roman" w:hAnsi="Times New Roman" w:cs="Times New Roman"/>
          <w:sz w:val="28"/>
          <w:szCs w:val="28"/>
        </w:rPr>
        <w:t xml:space="preserve">Белокаменское:   </w:t>
      </w:r>
      <w:proofErr w:type="gramEnd"/>
      <w:r w:rsidRPr="00DD2F5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Ф.А. Кокова</w:t>
      </w:r>
    </w:p>
    <w:p w14:paraId="401C14CC" w14:textId="77777777" w:rsidR="00DD2F59" w:rsidRPr="00DD2F59" w:rsidRDefault="00DD2F59" w:rsidP="00DD2F59"/>
    <w:sectPr w:rsidR="00DD2F59" w:rsidRPr="00DD2F59" w:rsidSect="00C33BC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CA"/>
    <w:rsid w:val="001717EC"/>
    <w:rsid w:val="003103CA"/>
    <w:rsid w:val="00C33BC9"/>
    <w:rsid w:val="00DD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88A9E"/>
  <w15:chartTrackingRefBased/>
  <w15:docId w15:val="{27C0A225-0803-45C4-87BA-04033AB3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F5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2F5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3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3BC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3BB1162F0E419DBEC63B35E1BF0D0666EDAD2E15071D66E733808B062DB2D324B8AED64DF6BE3DEA9AD34A05CAD9487E577604804A16876C1FCCC1n0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03BB1162F0E419DBEC63B35E1BF0D0666EDAD2E1B0B1F65E433808B062DB2D324B8AED64DF6BE3DEA9AD34E05CAD9487E577604804A16876C1FCCC1n0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3BB1162F0E419DBEC62538F7D3500B66E6F62B100D1637B86CDBD65124B88471F7AF9808F9A13CEA84D04A0CC9nCM" TargetMode="External"/><Relationship Id="rId11" Type="http://schemas.openxmlformats.org/officeDocument/2006/relationships/hyperlink" Target="consultantplus://offline/ref=D03BB1162F0E419DBEC62538F7D3500B60E4F325110E1637B86CDBD65124B88471F7AF9808F9A13CEA84D04A0CC9nCM" TargetMode="External"/><Relationship Id="rId5" Type="http://schemas.openxmlformats.org/officeDocument/2006/relationships/hyperlink" Target="consultantplus://offline/ref=D03BB1162F0E419DBEC62538F7D3500B61EFF72711091637B86CDBD65124B88471F7AF9808F9A13CEA84D04A0CC9nCM" TargetMode="External"/><Relationship Id="rId10" Type="http://schemas.openxmlformats.org/officeDocument/2006/relationships/hyperlink" Target="consultantplus://offline/ref=D03BB1162F0E419DBEC62538F7D3500B61E1F322150A1637B86CDBD65124B88471F7AF9808F9A13CEA84D04A0CC9nCM" TargetMode="External"/><Relationship Id="rId4" Type="http://schemas.openxmlformats.org/officeDocument/2006/relationships/image" Target="media/image1.wmf"/><Relationship Id="rId9" Type="http://schemas.openxmlformats.org/officeDocument/2006/relationships/hyperlink" Target="consultantplus://offline/ref=D03BB1162F0E419DBEC62538F7D3500B61E7F52B17061637B86CDBD65124B88471F7AF9808F9A13CEA84D04A0CC9n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2023-05-05T06:46:00Z</cp:lastPrinted>
  <dcterms:created xsi:type="dcterms:W3CDTF">2023-05-05T06:30:00Z</dcterms:created>
  <dcterms:modified xsi:type="dcterms:W3CDTF">2023-05-05T06:47:00Z</dcterms:modified>
</cp:coreProperties>
</file>